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6C" w:rsidRDefault="006C346C" w:rsidP="006C346C">
      <w:pPr>
        <w:tabs>
          <w:tab w:val="left" w:pos="808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江宁区商业幼儿园</w:t>
      </w:r>
      <w:proofErr w:type="gramStart"/>
      <w:r>
        <w:rPr>
          <w:rFonts w:hint="eastAsia"/>
          <w:sz w:val="36"/>
          <w:szCs w:val="36"/>
        </w:rPr>
        <w:t>教师</w:t>
      </w:r>
      <w:r w:rsidR="0029378D">
        <w:rPr>
          <w:rFonts w:hint="eastAsia"/>
          <w:sz w:val="36"/>
          <w:szCs w:val="36"/>
        </w:rPr>
        <w:t>园本</w:t>
      </w:r>
      <w:r>
        <w:rPr>
          <w:rFonts w:hint="eastAsia"/>
          <w:sz w:val="36"/>
          <w:szCs w:val="36"/>
        </w:rPr>
        <w:t>培训</w:t>
      </w:r>
      <w:proofErr w:type="gramEnd"/>
      <w:r>
        <w:rPr>
          <w:rFonts w:hint="eastAsia"/>
          <w:sz w:val="36"/>
          <w:szCs w:val="36"/>
        </w:rPr>
        <w:t>计划</w:t>
      </w:r>
    </w:p>
    <w:p w:rsidR="006C346C" w:rsidRDefault="006C346C" w:rsidP="006C346C">
      <w:pPr>
        <w:tabs>
          <w:tab w:val="left" w:pos="808"/>
        </w:tabs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20</w:t>
      </w:r>
      <w:r w:rsidR="004058F2">
        <w:rPr>
          <w:rFonts w:hint="eastAsia"/>
          <w:sz w:val="24"/>
        </w:rPr>
        <w:t>20.9</w:t>
      </w:r>
      <w:r>
        <w:rPr>
          <w:sz w:val="24"/>
        </w:rPr>
        <w:t>—20</w:t>
      </w:r>
      <w:r>
        <w:rPr>
          <w:rFonts w:hint="eastAsia"/>
          <w:sz w:val="24"/>
        </w:rPr>
        <w:t>2</w:t>
      </w:r>
      <w:r w:rsidR="004058F2">
        <w:rPr>
          <w:rFonts w:hint="eastAsia"/>
          <w:sz w:val="24"/>
        </w:rPr>
        <w:t>1.1</w:t>
      </w:r>
      <w:r w:rsidR="004058F2">
        <w:rPr>
          <w:rFonts w:hint="eastAsia"/>
          <w:sz w:val="24"/>
        </w:rPr>
        <w:t>第一</w:t>
      </w:r>
      <w:r>
        <w:rPr>
          <w:rFonts w:hint="eastAsia"/>
          <w:sz w:val="24"/>
        </w:rPr>
        <w:t>学期）</w:t>
      </w:r>
    </w:p>
    <w:p w:rsidR="006C346C" w:rsidRDefault="006C346C" w:rsidP="006C346C">
      <w:pPr>
        <w:tabs>
          <w:tab w:val="left" w:pos="808"/>
        </w:tabs>
        <w:spacing w:line="360" w:lineRule="auto"/>
        <w:rPr>
          <w:sz w:val="24"/>
        </w:rPr>
      </w:pPr>
      <w:r>
        <w:rPr>
          <w:rFonts w:hint="eastAsia"/>
          <w:sz w:val="24"/>
        </w:rPr>
        <w:t>一、指导思想</w:t>
      </w:r>
    </w:p>
    <w:p w:rsidR="006C346C" w:rsidRDefault="006C346C" w:rsidP="006C346C">
      <w:pPr>
        <w:tabs>
          <w:tab w:val="left" w:pos="808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为进一步加强师资队伍建设，贯彻落实《幼儿园教育指导纲要》精神，我园坚持“科研先导，</w:t>
      </w:r>
      <w:proofErr w:type="gramStart"/>
      <w:r>
        <w:rPr>
          <w:rFonts w:hint="eastAsia"/>
          <w:sz w:val="24"/>
        </w:rPr>
        <w:t>研</w:t>
      </w:r>
      <w:proofErr w:type="gramEnd"/>
      <w:r>
        <w:rPr>
          <w:rFonts w:hint="eastAsia"/>
          <w:sz w:val="24"/>
        </w:rPr>
        <w:t>训一体”的发展思路，以进一步深入学习与实践《</w:t>
      </w:r>
      <w:r>
        <w:rPr>
          <w:sz w:val="24"/>
        </w:rPr>
        <w:t>3-6</w:t>
      </w:r>
      <w:r>
        <w:rPr>
          <w:rFonts w:hint="eastAsia"/>
          <w:sz w:val="24"/>
        </w:rPr>
        <w:t>岁儿童学习与发展指南》，优化幼儿园一日活动为主线，立足本园实际，以教师的所需为本，优化培训内容，创新培训模式，引领教师在教中</w:t>
      </w:r>
      <w:proofErr w:type="gramStart"/>
      <w:r>
        <w:rPr>
          <w:rFonts w:hint="eastAsia"/>
          <w:sz w:val="24"/>
        </w:rPr>
        <w:t>研</w:t>
      </w:r>
      <w:proofErr w:type="gramEnd"/>
      <w:r>
        <w:rPr>
          <w:rFonts w:hint="eastAsia"/>
          <w:sz w:val="24"/>
        </w:rPr>
        <w:t>，在</w:t>
      </w:r>
      <w:proofErr w:type="gramStart"/>
      <w:r>
        <w:rPr>
          <w:rFonts w:hint="eastAsia"/>
          <w:sz w:val="24"/>
        </w:rPr>
        <w:t>研</w:t>
      </w:r>
      <w:proofErr w:type="gramEnd"/>
      <w:r w:rsidR="000F6857">
        <w:rPr>
          <w:rFonts w:hint="eastAsia"/>
          <w:sz w:val="24"/>
        </w:rPr>
        <w:t>中思，在思中得，实现教师整体素质和教科研质量的同步提高。本学期</w:t>
      </w:r>
      <w:r>
        <w:rPr>
          <w:rFonts w:hint="eastAsia"/>
          <w:sz w:val="24"/>
        </w:rPr>
        <w:t>疫情影响</w:t>
      </w:r>
      <w:r w:rsidR="000F6857">
        <w:rPr>
          <w:rFonts w:hint="eastAsia"/>
          <w:sz w:val="24"/>
        </w:rPr>
        <w:t>下</w:t>
      </w:r>
      <w:r>
        <w:rPr>
          <w:rFonts w:hint="eastAsia"/>
          <w:sz w:val="24"/>
        </w:rPr>
        <w:t>，我园采用线上</w:t>
      </w:r>
      <w:r w:rsidR="002F3E38">
        <w:rPr>
          <w:rFonts w:hint="eastAsia"/>
          <w:sz w:val="24"/>
        </w:rPr>
        <w:t>、线上</w:t>
      </w:r>
      <w:r>
        <w:rPr>
          <w:rFonts w:hint="eastAsia"/>
          <w:sz w:val="24"/>
        </w:rPr>
        <w:t>教研、培训方式</w:t>
      </w:r>
      <w:r w:rsidR="002F3E38">
        <w:rPr>
          <w:rFonts w:hint="eastAsia"/>
          <w:sz w:val="24"/>
        </w:rPr>
        <w:t>，</w:t>
      </w:r>
      <w:r w:rsidR="00945A48">
        <w:rPr>
          <w:rFonts w:hint="eastAsia"/>
          <w:sz w:val="24"/>
        </w:rPr>
        <w:t>努力提升教师专业素养。</w:t>
      </w:r>
      <w:r w:rsidR="000F6857">
        <w:rPr>
          <w:rFonts w:hint="eastAsia"/>
          <w:sz w:val="24"/>
        </w:rPr>
        <w:t>做好参与网络培训的宣传动员工作</w:t>
      </w:r>
      <w:bookmarkStart w:id="0" w:name="_GoBack"/>
      <w:bookmarkEnd w:id="0"/>
      <w:r w:rsidR="000F6857">
        <w:rPr>
          <w:rFonts w:hint="eastAsia"/>
          <w:sz w:val="24"/>
        </w:rPr>
        <w:t>。</w:t>
      </w:r>
    </w:p>
    <w:p w:rsidR="006C346C" w:rsidRDefault="006C346C" w:rsidP="006C346C">
      <w:pPr>
        <w:tabs>
          <w:tab w:val="left" w:pos="808"/>
        </w:tabs>
        <w:spacing w:line="360" w:lineRule="auto"/>
        <w:rPr>
          <w:sz w:val="24"/>
        </w:rPr>
      </w:pPr>
      <w:r>
        <w:rPr>
          <w:rFonts w:hint="eastAsia"/>
          <w:sz w:val="24"/>
        </w:rPr>
        <w:t>二、培训目标：</w:t>
      </w:r>
    </w:p>
    <w:p w:rsidR="006C346C" w:rsidRDefault="006C346C" w:rsidP="006C346C">
      <w:pPr>
        <w:tabs>
          <w:tab w:val="left" w:pos="808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通过</w:t>
      </w:r>
      <w:proofErr w:type="gramStart"/>
      <w:r>
        <w:rPr>
          <w:rFonts w:hint="eastAsia"/>
          <w:sz w:val="24"/>
        </w:rPr>
        <w:t>园本培训</w:t>
      </w:r>
      <w:proofErr w:type="gramEnd"/>
      <w:r>
        <w:rPr>
          <w:rFonts w:hint="eastAsia"/>
          <w:sz w:val="24"/>
        </w:rPr>
        <w:t>，促使教师更新观念，树立现代教育理念，优化知识结构，提升团队的学习力、执行力、创新能力和教职工的幸福指数，提升办园品质，建立一支素质良好、能适应现代化教育要求的反思型、学习型、科研型的教师队伍，让我园的每一位幼儿得到健康、和谐的发展，更使我园的保教质量再上一个新的台阶。</w:t>
      </w:r>
    </w:p>
    <w:p w:rsidR="006C346C" w:rsidRDefault="006C346C" w:rsidP="006C346C">
      <w:pPr>
        <w:tabs>
          <w:tab w:val="left" w:pos="808"/>
        </w:tabs>
        <w:spacing w:line="360" w:lineRule="auto"/>
        <w:rPr>
          <w:sz w:val="24"/>
        </w:rPr>
      </w:pPr>
      <w:r>
        <w:rPr>
          <w:rFonts w:hint="eastAsia"/>
          <w:sz w:val="24"/>
        </w:rPr>
        <w:t>二、要求与措施：</w:t>
      </w:r>
      <w:r>
        <w:rPr>
          <w:sz w:val="24"/>
        </w:rPr>
        <w:t xml:space="preserve">     </w:t>
      </w:r>
    </w:p>
    <w:p w:rsidR="006C346C" w:rsidRDefault="006C346C" w:rsidP="006C346C">
      <w:pPr>
        <w:tabs>
          <w:tab w:val="left" w:pos="808"/>
        </w:tabs>
        <w:spacing w:line="360" w:lineRule="auto"/>
        <w:rPr>
          <w:sz w:val="24"/>
        </w:rPr>
      </w:pPr>
      <w:r>
        <w:rPr>
          <w:sz w:val="24"/>
        </w:rPr>
        <w:t xml:space="preserve">   </w:t>
      </w:r>
      <w:r w:rsidR="004058F2">
        <w:rPr>
          <w:sz w:val="24"/>
        </w:rPr>
        <w:t xml:space="preserve"> </w:t>
      </w:r>
      <w:r w:rsidR="004058F2">
        <w:rPr>
          <w:rFonts w:hint="eastAsia"/>
          <w:sz w:val="24"/>
        </w:rPr>
        <w:t>1</w:t>
      </w:r>
      <w:r>
        <w:rPr>
          <w:sz w:val="24"/>
        </w:rPr>
        <w:t xml:space="preserve">. </w:t>
      </w:r>
      <w:r>
        <w:rPr>
          <w:rFonts w:hint="eastAsia"/>
          <w:sz w:val="24"/>
        </w:rPr>
        <w:t>加强教研学习的力度，采取多种教研形式</w:t>
      </w:r>
      <w:r w:rsidR="004058F2">
        <w:rPr>
          <w:rFonts w:hint="eastAsia"/>
          <w:sz w:val="24"/>
        </w:rPr>
        <w:t>（线上、线下）</w:t>
      </w:r>
      <w:r>
        <w:rPr>
          <w:rFonts w:hint="eastAsia"/>
          <w:sz w:val="24"/>
        </w:rPr>
        <w:t>，提高教师学习的参与度和积极性。</w:t>
      </w:r>
    </w:p>
    <w:p w:rsidR="006C346C" w:rsidRDefault="004058F2" w:rsidP="004058F2">
      <w:pPr>
        <w:tabs>
          <w:tab w:val="left" w:pos="808"/>
        </w:tabs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 w:rsidR="006C346C">
        <w:rPr>
          <w:sz w:val="24"/>
        </w:rPr>
        <w:t xml:space="preserve"> </w:t>
      </w:r>
      <w:r w:rsidR="006C346C">
        <w:rPr>
          <w:rFonts w:hint="eastAsia"/>
          <w:sz w:val="24"/>
        </w:rPr>
        <w:t>针对本园教师的专业发展需求，邀请区内幼教领导或专家来园讲座，为教师们答疑解惑。</w:t>
      </w:r>
      <w:r w:rsidR="006C346C">
        <w:rPr>
          <w:sz w:val="24"/>
        </w:rPr>
        <w:t xml:space="preserve">   </w:t>
      </w:r>
    </w:p>
    <w:p w:rsidR="006C346C" w:rsidRDefault="004058F2" w:rsidP="006C346C">
      <w:pPr>
        <w:tabs>
          <w:tab w:val="left" w:pos="808"/>
        </w:tabs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3</w:t>
      </w:r>
      <w:r w:rsidR="006C346C">
        <w:rPr>
          <w:sz w:val="24"/>
        </w:rPr>
        <w:t>.</w:t>
      </w:r>
      <w:r w:rsidR="006C346C">
        <w:rPr>
          <w:rFonts w:hint="eastAsia"/>
          <w:sz w:val="24"/>
        </w:rPr>
        <w:t>外出参加学习的老师，把所学知识回园分享交流，共同学习，共同成长。</w:t>
      </w:r>
    </w:p>
    <w:p w:rsidR="008B1C0C" w:rsidRDefault="004058F2" w:rsidP="00A87F96">
      <w:pPr>
        <w:tabs>
          <w:tab w:val="left" w:pos="808"/>
        </w:tabs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4</w:t>
      </w:r>
      <w:r w:rsidR="006C346C">
        <w:rPr>
          <w:sz w:val="24"/>
        </w:rPr>
        <w:t>.</w:t>
      </w:r>
      <w:r w:rsidR="006C346C">
        <w:rPr>
          <w:rFonts w:hint="eastAsia"/>
          <w:sz w:val="24"/>
        </w:rPr>
        <w:t>全体教师必须积极参加业务学习，态度认真，不得迟到、早退，学习时间做其他事，认真做好学习笔记。</w:t>
      </w:r>
    </w:p>
    <w:p w:rsidR="006C346C" w:rsidRDefault="006C346C" w:rsidP="006C346C">
      <w:pPr>
        <w:tabs>
          <w:tab w:val="left" w:pos="808"/>
        </w:tabs>
        <w:spacing w:line="360" w:lineRule="auto"/>
        <w:rPr>
          <w:sz w:val="24"/>
        </w:rPr>
      </w:pPr>
      <w:r>
        <w:rPr>
          <w:rFonts w:hint="eastAsia"/>
          <w:sz w:val="24"/>
        </w:rPr>
        <w:t>三、具体工作安排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6"/>
        <w:gridCol w:w="5138"/>
        <w:gridCol w:w="1312"/>
        <w:gridCol w:w="1523"/>
      </w:tblGrid>
      <w:tr w:rsidR="006C346C" w:rsidTr="00332DD5">
        <w:tc>
          <w:tcPr>
            <w:tcW w:w="1066" w:type="dxa"/>
          </w:tcPr>
          <w:p w:rsidR="006C346C" w:rsidRDefault="006C346C" w:rsidP="00BA69E6">
            <w:pPr>
              <w:tabs>
                <w:tab w:val="left" w:pos="808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5138" w:type="dxa"/>
          </w:tcPr>
          <w:p w:rsidR="006C346C" w:rsidRDefault="006C346C" w:rsidP="00BA69E6">
            <w:pPr>
              <w:tabs>
                <w:tab w:val="left" w:pos="808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1312" w:type="dxa"/>
          </w:tcPr>
          <w:p w:rsidR="006C346C" w:rsidRDefault="006C346C" w:rsidP="00BA69E6">
            <w:pPr>
              <w:tabs>
                <w:tab w:val="left" w:pos="808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523" w:type="dxa"/>
          </w:tcPr>
          <w:p w:rsidR="006C346C" w:rsidRDefault="006C346C" w:rsidP="00BA69E6">
            <w:pPr>
              <w:tabs>
                <w:tab w:val="left" w:pos="808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</w:t>
            </w:r>
          </w:p>
        </w:tc>
      </w:tr>
      <w:tr w:rsidR="006C346C" w:rsidTr="00332DD5">
        <w:tc>
          <w:tcPr>
            <w:tcW w:w="1066" w:type="dxa"/>
          </w:tcPr>
          <w:p w:rsidR="006C346C" w:rsidRDefault="004058F2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9.15</w:t>
            </w:r>
          </w:p>
        </w:tc>
        <w:tc>
          <w:tcPr>
            <w:tcW w:w="5138" w:type="dxa"/>
          </w:tcPr>
          <w:p w:rsidR="006C346C" w:rsidRDefault="004058F2" w:rsidP="004058F2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 w:rsidRPr="004058F2">
              <w:rPr>
                <w:rFonts w:hint="eastAsia"/>
                <w:sz w:val="24"/>
              </w:rPr>
              <w:t>基于</w:t>
            </w:r>
            <w:r w:rsidRPr="004058F2">
              <w:rPr>
                <w:rFonts w:hint="eastAsia"/>
                <w:sz w:val="24"/>
              </w:rPr>
              <w:t>OBE</w:t>
            </w:r>
            <w:r w:rsidRPr="004058F2">
              <w:rPr>
                <w:rFonts w:hint="eastAsia"/>
                <w:sz w:val="24"/>
              </w:rPr>
              <w:t>理念的幼儿园课程评价——从理念到实践</w:t>
            </w:r>
          </w:p>
        </w:tc>
        <w:tc>
          <w:tcPr>
            <w:tcW w:w="1312" w:type="dxa"/>
          </w:tcPr>
          <w:p w:rsidR="006C346C" w:rsidRPr="005C0C12" w:rsidRDefault="004058F2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李克建</w:t>
            </w:r>
          </w:p>
        </w:tc>
        <w:tc>
          <w:tcPr>
            <w:tcW w:w="1523" w:type="dxa"/>
          </w:tcPr>
          <w:p w:rsidR="006C346C" w:rsidRDefault="00332DD5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网络培训</w:t>
            </w:r>
          </w:p>
        </w:tc>
      </w:tr>
      <w:tr w:rsidR="006C346C" w:rsidTr="00332DD5">
        <w:tc>
          <w:tcPr>
            <w:tcW w:w="1066" w:type="dxa"/>
          </w:tcPr>
          <w:p w:rsidR="006C346C" w:rsidRDefault="00263679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10.13</w:t>
            </w:r>
          </w:p>
        </w:tc>
        <w:tc>
          <w:tcPr>
            <w:tcW w:w="5138" w:type="dxa"/>
          </w:tcPr>
          <w:p w:rsidR="006C346C" w:rsidRDefault="00E07895" w:rsidP="00E0789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 w:rsidRPr="00E07895">
              <w:rPr>
                <w:rFonts w:hint="eastAsia"/>
                <w:sz w:val="24"/>
              </w:rPr>
              <w:t>幼儿园自主性游戏及其指导</w:t>
            </w:r>
          </w:p>
        </w:tc>
        <w:tc>
          <w:tcPr>
            <w:tcW w:w="1312" w:type="dxa"/>
          </w:tcPr>
          <w:p w:rsidR="006C346C" w:rsidRDefault="00DF0D41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敏</w:t>
            </w:r>
          </w:p>
        </w:tc>
        <w:tc>
          <w:tcPr>
            <w:tcW w:w="1523" w:type="dxa"/>
          </w:tcPr>
          <w:p w:rsidR="006C346C" w:rsidRDefault="00263679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讲座</w:t>
            </w:r>
          </w:p>
        </w:tc>
      </w:tr>
      <w:tr w:rsidR="006C346C" w:rsidTr="00332DD5">
        <w:tc>
          <w:tcPr>
            <w:tcW w:w="1066" w:type="dxa"/>
          </w:tcPr>
          <w:p w:rsidR="006C346C" w:rsidRDefault="00263679" w:rsidP="00DE462C">
            <w:pPr>
              <w:tabs>
                <w:tab w:val="left" w:pos="795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10.27</w:t>
            </w:r>
          </w:p>
        </w:tc>
        <w:tc>
          <w:tcPr>
            <w:tcW w:w="5138" w:type="dxa"/>
          </w:tcPr>
          <w:p w:rsidR="006C346C" w:rsidRDefault="00263679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 w:rsidRPr="00263679">
              <w:rPr>
                <w:rFonts w:hint="eastAsia"/>
                <w:sz w:val="24"/>
              </w:rPr>
              <w:t>读懂幼儿行为背后的密码</w:t>
            </w:r>
          </w:p>
        </w:tc>
        <w:tc>
          <w:tcPr>
            <w:tcW w:w="1312" w:type="dxa"/>
          </w:tcPr>
          <w:p w:rsidR="006C346C" w:rsidRDefault="00263679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蕊</w:t>
            </w:r>
            <w:proofErr w:type="gramEnd"/>
          </w:p>
        </w:tc>
        <w:tc>
          <w:tcPr>
            <w:tcW w:w="1523" w:type="dxa"/>
          </w:tcPr>
          <w:p w:rsidR="006C346C" w:rsidRDefault="00263679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讲座</w:t>
            </w:r>
          </w:p>
        </w:tc>
      </w:tr>
      <w:tr w:rsidR="006C346C" w:rsidTr="00332DD5">
        <w:tc>
          <w:tcPr>
            <w:tcW w:w="1066" w:type="dxa"/>
          </w:tcPr>
          <w:p w:rsidR="006C346C" w:rsidRDefault="00263679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11.10</w:t>
            </w:r>
          </w:p>
        </w:tc>
        <w:tc>
          <w:tcPr>
            <w:tcW w:w="5138" w:type="dxa"/>
          </w:tcPr>
          <w:p w:rsidR="006C346C" w:rsidRDefault="00E07895" w:rsidP="00DE462C">
            <w:pPr>
              <w:spacing w:line="360" w:lineRule="auto"/>
              <w:rPr>
                <w:sz w:val="24"/>
              </w:rPr>
            </w:pPr>
            <w:r w:rsidRPr="00E07895">
              <w:rPr>
                <w:rFonts w:hint="eastAsia"/>
                <w:sz w:val="24"/>
              </w:rPr>
              <w:t>全人教育</w:t>
            </w:r>
          </w:p>
        </w:tc>
        <w:tc>
          <w:tcPr>
            <w:tcW w:w="1312" w:type="dxa"/>
          </w:tcPr>
          <w:p w:rsidR="006C346C" w:rsidRDefault="00E07895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 w:rsidRPr="00E07895">
              <w:rPr>
                <w:rFonts w:hint="eastAsia"/>
                <w:sz w:val="24"/>
              </w:rPr>
              <w:t>专家</w:t>
            </w:r>
          </w:p>
        </w:tc>
        <w:tc>
          <w:tcPr>
            <w:tcW w:w="1523" w:type="dxa"/>
          </w:tcPr>
          <w:p w:rsidR="006C346C" w:rsidRDefault="00E07895" w:rsidP="00C87AC9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 w:rsidRPr="00E07895">
              <w:rPr>
                <w:rFonts w:hint="eastAsia"/>
                <w:sz w:val="24"/>
              </w:rPr>
              <w:t>网络培训</w:t>
            </w:r>
          </w:p>
        </w:tc>
      </w:tr>
      <w:tr w:rsidR="006C346C" w:rsidTr="00332DD5">
        <w:tc>
          <w:tcPr>
            <w:tcW w:w="1066" w:type="dxa"/>
          </w:tcPr>
          <w:p w:rsidR="006C346C" w:rsidRDefault="00263679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11.24</w:t>
            </w:r>
          </w:p>
        </w:tc>
        <w:tc>
          <w:tcPr>
            <w:tcW w:w="5138" w:type="dxa"/>
          </w:tcPr>
          <w:p w:rsidR="006C346C" w:rsidRDefault="00E07895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 w:rsidRPr="00E07895">
              <w:rPr>
                <w:rFonts w:hint="eastAsia"/>
                <w:sz w:val="24"/>
              </w:rPr>
              <w:t>幼儿园班级区域规划</w:t>
            </w:r>
            <w:proofErr w:type="gramStart"/>
            <w:r w:rsidRPr="00E07895">
              <w:rPr>
                <w:rFonts w:hint="eastAsia"/>
                <w:sz w:val="24"/>
              </w:rPr>
              <w:t>及设置</w:t>
            </w:r>
            <w:proofErr w:type="gramEnd"/>
          </w:p>
        </w:tc>
        <w:tc>
          <w:tcPr>
            <w:tcW w:w="1312" w:type="dxa"/>
          </w:tcPr>
          <w:p w:rsidR="006C346C" w:rsidRPr="003F6440" w:rsidRDefault="00263679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邓翠萍</w:t>
            </w:r>
          </w:p>
        </w:tc>
        <w:tc>
          <w:tcPr>
            <w:tcW w:w="1523" w:type="dxa"/>
          </w:tcPr>
          <w:p w:rsidR="006C346C" w:rsidRDefault="00263679" w:rsidP="00C87AC9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讲座</w:t>
            </w:r>
          </w:p>
        </w:tc>
      </w:tr>
      <w:tr w:rsidR="006C346C" w:rsidTr="00332DD5">
        <w:tc>
          <w:tcPr>
            <w:tcW w:w="1066" w:type="dxa"/>
          </w:tcPr>
          <w:p w:rsidR="006C346C" w:rsidRDefault="00263679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12.8</w:t>
            </w:r>
          </w:p>
        </w:tc>
        <w:tc>
          <w:tcPr>
            <w:tcW w:w="5138" w:type="dxa"/>
          </w:tcPr>
          <w:p w:rsidR="006C346C" w:rsidRDefault="00E07895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全人教育</w:t>
            </w:r>
          </w:p>
        </w:tc>
        <w:tc>
          <w:tcPr>
            <w:tcW w:w="1312" w:type="dxa"/>
          </w:tcPr>
          <w:p w:rsidR="006C346C" w:rsidRDefault="00E07895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</w:tc>
        <w:tc>
          <w:tcPr>
            <w:tcW w:w="1523" w:type="dxa"/>
          </w:tcPr>
          <w:p w:rsidR="006C346C" w:rsidRDefault="00E07895" w:rsidP="00C87AC9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网络培训</w:t>
            </w:r>
          </w:p>
        </w:tc>
      </w:tr>
      <w:tr w:rsidR="006C346C" w:rsidTr="00332DD5">
        <w:tc>
          <w:tcPr>
            <w:tcW w:w="1066" w:type="dxa"/>
          </w:tcPr>
          <w:p w:rsidR="006C346C" w:rsidRDefault="00263679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12.22</w:t>
            </w:r>
          </w:p>
        </w:tc>
        <w:tc>
          <w:tcPr>
            <w:tcW w:w="5138" w:type="dxa"/>
          </w:tcPr>
          <w:p w:rsidR="006C346C" w:rsidRDefault="00E07895" w:rsidP="00E07895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 w:rsidRPr="00E07895">
              <w:rPr>
                <w:rFonts w:hint="eastAsia"/>
                <w:sz w:val="24"/>
              </w:rPr>
              <w:t>音乐活动与幼儿发展</w:t>
            </w:r>
            <w:r w:rsidRPr="00E07895">
              <w:rPr>
                <w:rFonts w:hint="eastAsia"/>
                <w:sz w:val="24"/>
              </w:rPr>
              <w:tab/>
            </w:r>
            <w:r w:rsidRPr="00E07895">
              <w:rPr>
                <w:rFonts w:hint="eastAsia"/>
                <w:sz w:val="24"/>
              </w:rPr>
              <w:tab/>
            </w:r>
          </w:p>
        </w:tc>
        <w:tc>
          <w:tcPr>
            <w:tcW w:w="1312" w:type="dxa"/>
          </w:tcPr>
          <w:p w:rsidR="006C346C" w:rsidRDefault="00E07895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 w:rsidRPr="00E07895">
              <w:rPr>
                <w:rFonts w:hint="eastAsia"/>
                <w:sz w:val="24"/>
              </w:rPr>
              <w:t>张</w:t>
            </w:r>
            <w:r w:rsidRPr="00E07895">
              <w:rPr>
                <w:rFonts w:hint="eastAsia"/>
                <w:sz w:val="24"/>
              </w:rPr>
              <w:t xml:space="preserve">  </w:t>
            </w:r>
            <w:r w:rsidRPr="00E07895">
              <w:rPr>
                <w:rFonts w:hint="eastAsia"/>
                <w:sz w:val="24"/>
              </w:rPr>
              <w:t>琴</w:t>
            </w:r>
          </w:p>
        </w:tc>
        <w:tc>
          <w:tcPr>
            <w:tcW w:w="1523" w:type="dxa"/>
          </w:tcPr>
          <w:p w:rsidR="006C346C" w:rsidRDefault="00E07895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  <w:r w:rsidRPr="00E07895">
              <w:rPr>
                <w:rFonts w:hint="eastAsia"/>
                <w:sz w:val="24"/>
              </w:rPr>
              <w:t>讲座</w:t>
            </w:r>
          </w:p>
        </w:tc>
      </w:tr>
      <w:tr w:rsidR="006C346C" w:rsidTr="00332DD5">
        <w:tc>
          <w:tcPr>
            <w:tcW w:w="1066" w:type="dxa"/>
          </w:tcPr>
          <w:p w:rsidR="006C346C" w:rsidRDefault="006C346C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</w:p>
        </w:tc>
        <w:tc>
          <w:tcPr>
            <w:tcW w:w="5138" w:type="dxa"/>
          </w:tcPr>
          <w:p w:rsidR="006C346C" w:rsidRDefault="006C346C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</w:p>
        </w:tc>
        <w:tc>
          <w:tcPr>
            <w:tcW w:w="1312" w:type="dxa"/>
          </w:tcPr>
          <w:p w:rsidR="006C346C" w:rsidRPr="003F6440" w:rsidRDefault="006C346C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</w:p>
        </w:tc>
        <w:tc>
          <w:tcPr>
            <w:tcW w:w="1523" w:type="dxa"/>
          </w:tcPr>
          <w:p w:rsidR="006C346C" w:rsidRDefault="006C346C" w:rsidP="00BA69E6">
            <w:pPr>
              <w:tabs>
                <w:tab w:val="left" w:pos="808"/>
              </w:tabs>
              <w:spacing w:line="360" w:lineRule="auto"/>
              <w:rPr>
                <w:sz w:val="24"/>
              </w:rPr>
            </w:pPr>
          </w:p>
        </w:tc>
      </w:tr>
    </w:tbl>
    <w:p w:rsidR="006C346C" w:rsidRDefault="006C346C" w:rsidP="006C346C">
      <w:pPr>
        <w:tabs>
          <w:tab w:val="left" w:pos="808"/>
        </w:tabs>
      </w:pPr>
    </w:p>
    <w:p w:rsidR="006C346C" w:rsidRDefault="006C346C" w:rsidP="006C346C"/>
    <w:p w:rsidR="006C346C" w:rsidRDefault="006C346C" w:rsidP="006C346C"/>
    <w:p w:rsidR="006C346C" w:rsidRDefault="006C346C" w:rsidP="006C346C">
      <w:pPr>
        <w:jc w:val="center"/>
        <w:rPr>
          <w:b/>
          <w:color w:val="000000"/>
          <w:sz w:val="36"/>
          <w:szCs w:val="36"/>
        </w:rPr>
      </w:pPr>
    </w:p>
    <w:p w:rsidR="006C346C" w:rsidRDefault="006C346C" w:rsidP="006C346C">
      <w:pPr>
        <w:jc w:val="center"/>
        <w:rPr>
          <w:b/>
          <w:color w:val="000000"/>
          <w:sz w:val="36"/>
          <w:szCs w:val="36"/>
        </w:rPr>
      </w:pPr>
    </w:p>
    <w:p w:rsidR="006C346C" w:rsidRDefault="006C346C" w:rsidP="006C346C">
      <w:pPr>
        <w:jc w:val="center"/>
        <w:rPr>
          <w:b/>
          <w:color w:val="000000"/>
          <w:sz w:val="36"/>
          <w:szCs w:val="36"/>
        </w:rPr>
      </w:pPr>
    </w:p>
    <w:p w:rsidR="006C346C" w:rsidRDefault="006C346C" w:rsidP="006C346C">
      <w:pPr>
        <w:jc w:val="center"/>
        <w:rPr>
          <w:b/>
          <w:color w:val="000000"/>
          <w:sz w:val="36"/>
          <w:szCs w:val="36"/>
        </w:rPr>
      </w:pPr>
    </w:p>
    <w:p w:rsidR="006C346C" w:rsidRDefault="006C346C" w:rsidP="006C346C">
      <w:pPr>
        <w:jc w:val="center"/>
        <w:rPr>
          <w:b/>
          <w:color w:val="000000"/>
          <w:sz w:val="36"/>
          <w:szCs w:val="36"/>
        </w:rPr>
      </w:pPr>
    </w:p>
    <w:p w:rsidR="006C346C" w:rsidRDefault="006C346C" w:rsidP="006C346C">
      <w:pPr>
        <w:jc w:val="center"/>
        <w:rPr>
          <w:b/>
          <w:color w:val="000000"/>
          <w:sz w:val="36"/>
          <w:szCs w:val="36"/>
        </w:rPr>
      </w:pPr>
    </w:p>
    <w:p w:rsidR="006C346C" w:rsidRDefault="006C346C" w:rsidP="006C346C">
      <w:pPr>
        <w:jc w:val="center"/>
        <w:rPr>
          <w:b/>
          <w:color w:val="000000"/>
          <w:sz w:val="36"/>
          <w:szCs w:val="36"/>
        </w:rPr>
      </w:pPr>
    </w:p>
    <w:p w:rsidR="006C346C" w:rsidRDefault="006C346C" w:rsidP="006C346C">
      <w:pPr>
        <w:jc w:val="center"/>
        <w:rPr>
          <w:b/>
          <w:color w:val="000000"/>
          <w:sz w:val="36"/>
          <w:szCs w:val="36"/>
        </w:rPr>
      </w:pPr>
    </w:p>
    <w:p w:rsidR="006C346C" w:rsidRDefault="006C346C" w:rsidP="006C346C">
      <w:pPr>
        <w:jc w:val="center"/>
        <w:rPr>
          <w:b/>
          <w:color w:val="000000"/>
          <w:sz w:val="36"/>
          <w:szCs w:val="36"/>
        </w:rPr>
      </w:pPr>
    </w:p>
    <w:p w:rsidR="006C346C" w:rsidRDefault="006C346C" w:rsidP="006C346C">
      <w:pPr>
        <w:jc w:val="center"/>
        <w:rPr>
          <w:b/>
          <w:color w:val="000000"/>
          <w:sz w:val="36"/>
          <w:szCs w:val="36"/>
        </w:rPr>
      </w:pPr>
    </w:p>
    <w:p w:rsidR="006C346C" w:rsidRDefault="006C346C" w:rsidP="006C346C">
      <w:pPr>
        <w:jc w:val="center"/>
        <w:rPr>
          <w:b/>
          <w:color w:val="000000"/>
          <w:sz w:val="36"/>
          <w:szCs w:val="36"/>
        </w:rPr>
      </w:pPr>
    </w:p>
    <w:p w:rsidR="0098242D" w:rsidRDefault="0098242D"/>
    <w:sectPr w:rsidR="0098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94" w:rsidRDefault="00560194" w:rsidP="006C346C">
      <w:r>
        <w:separator/>
      </w:r>
    </w:p>
  </w:endnote>
  <w:endnote w:type="continuationSeparator" w:id="0">
    <w:p w:rsidR="00560194" w:rsidRDefault="00560194" w:rsidP="006C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94" w:rsidRDefault="00560194" w:rsidP="006C346C">
      <w:r>
        <w:separator/>
      </w:r>
    </w:p>
  </w:footnote>
  <w:footnote w:type="continuationSeparator" w:id="0">
    <w:p w:rsidR="00560194" w:rsidRDefault="00560194" w:rsidP="006C3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6A"/>
    <w:rsid w:val="000B6C99"/>
    <w:rsid w:val="000F6857"/>
    <w:rsid w:val="00133942"/>
    <w:rsid w:val="00222F5A"/>
    <w:rsid w:val="00263679"/>
    <w:rsid w:val="0029378D"/>
    <w:rsid w:val="002F3E38"/>
    <w:rsid w:val="003002FC"/>
    <w:rsid w:val="0031607F"/>
    <w:rsid w:val="00332DD5"/>
    <w:rsid w:val="00362A35"/>
    <w:rsid w:val="003E4B6A"/>
    <w:rsid w:val="004058F2"/>
    <w:rsid w:val="004317CF"/>
    <w:rsid w:val="00560194"/>
    <w:rsid w:val="006C346C"/>
    <w:rsid w:val="0074087C"/>
    <w:rsid w:val="007A4E2F"/>
    <w:rsid w:val="007B12F7"/>
    <w:rsid w:val="007F0FFE"/>
    <w:rsid w:val="008B1C0C"/>
    <w:rsid w:val="00945A48"/>
    <w:rsid w:val="0098242D"/>
    <w:rsid w:val="009A6DCD"/>
    <w:rsid w:val="00A87F96"/>
    <w:rsid w:val="00BD611A"/>
    <w:rsid w:val="00C0212F"/>
    <w:rsid w:val="00C87AC9"/>
    <w:rsid w:val="00DE462C"/>
    <w:rsid w:val="00DF0D41"/>
    <w:rsid w:val="00E07895"/>
    <w:rsid w:val="00E721B7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4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4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4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4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4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4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126</Words>
  <Characters>721</Characters>
  <Application>Microsoft Office Word</Application>
  <DocSecurity>0</DocSecurity>
  <Lines>6</Lines>
  <Paragraphs>1</Paragraphs>
  <ScaleCrop>false</ScaleCrop>
  <Company>china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2020-09-15T07:56:00Z</dcterms:created>
  <dcterms:modified xsi:type="dcterms:W3CDTF">2020-09-25T06:55:00Z</dcterms:modified>
</cp:coreProperties>
</file>